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5274310" cy="7317105"/>
            <wp:effectExtent l="19050" t="0" r="2540" b="0"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5274310" cy="7317105"/>
            <wp:effectExtent l="19050" t="0" r="2540" b="0"/>
            <wp:docPr id="2" name="图片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5274310" cy="7317105"/>
            <wp:effectExtent l="19050" t="0" r="2540" b="0"/>
            <wp:docPr id="3" name="图片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5274310" cy="7317105"/>
            <wp:effectExtent l="19050" t="0" r="2540" b="0"/>
            <wp:docPr id="4" name="图片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315A60" w:rsidRDefault="00315A60" w:rsidP="00792716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</w:p>
    <w:p w:rsidR="00792716" w:rsidRDefault="00792716" w:rsidP="00792716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附件：</w:t>
      </w:r>
    </w:p>
    <w:p w:rsidR="00792716" w:rsidRPr="00344B4B" w:rsidRDefault="00792716" w:rsidP="00792716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344B4B">
        <w:rPr>
          <w:rFonts w:ascii="仿宋" w:eastAsia="仿宋" w:hAnsi="仿宋" w:hint="eastAsia"/>
          <w:sz w:val="30"/>
          <w:szCs w:val="30"/>
        </w:rPr>
        <w:t>（3）评判方法与标准</w:t>
      </w: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440"/>
        <w:gridCol w:w="900"/>
        <w:gridCol w:w="3600"/>
        <w:gridCol w:w="900"/>
        <w:gridCol w:w="900"/>
      </w:tblGrid>
      <w:tr w:rsidR="00792716" w:rsidRPr="008C05ED" w:rsidTr="00DB7760">
        <w:tc>
          <w:tcPr>
            <w:tcW w:w="2088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jc w:val="center"/>
              <w:rPr>
                <w:rFonts w:eastAsia="楷体_GB2312"/>
                <w:sz w:val="28"/>
                <w:szCs w:val="21"/>
              </w:rPr>
            </w:pPr>
            <w:r w:rsidRPr="008C05ED">
              <w:rPr>
                <w:rFonts w:eastAsia="楷体_GB2312" w:hint="eastAsia"/>
                <w:sz w:val="28"/>
                <w:szCs w:val="21"/>
              </w:rPr>
              <w:t>评</w:t>
            </w:r>
            <w:r w:rsidRPr="008C05ED">
              <w:rPr>
                <w:rFonts w:eastAsia="楷体_GB2312" w:hint="eastAsia"/>
                <w:sz w:val="28"/>
                <w:szCs w:val="21"/>
              </w:rPr>
              <w:t xml:space="preserve"> </w:t>
            </w:r>
            <w:r w:rsidRPr="008C05ED">
              <w:rPr>
                <w:rFonts w:eastAsia="楷体_GB2312" w:hint="eastAsia"/>
                <w:sz w:val="28"/>
                <w:szCs w:val="21"/>
              </w:rPr>
              <w:t>分</w:t>
            </w:r>
            <w:r w:rsidRPr="008C05ED">
              <w:rPr>
                <w:rFonts w:eastAsia="楷体_GB2312" w:hint="eastAsia"/>
                <w:sz w:val="28"/>
                <w:szCs w:val="21"/>
              </w:rPr>
              <w:t xml:space="preserve"> </w:t>
            </w:r>
            <w:r w:rsidRPr="008C05ED">
              <w:rPr>
                <w:rFonts w:eastAsia="楷体_GB2312" w:hint="eastAsia"/>
                <w:sz w:val="28"/>
                <w:szCs w:val="21"/>
              </w:rPr>
              <w:t>项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jc w:val="center"/>
              <w:rPr>
                <w:rFonts w:eastAsia="楷体_GB2312"/>
                <w:sz w:val="28"/>
                <w:szCs w:val="21"/>
              </w:rPr>
            </w:pPr>
            <w:r w:rsidRPr="008C05ED">
              <w:rPr>
                <w:rFonts w:eastAsia="楷体_GB2312" w:hint="eastAsia"/>
                <w:sz w:val="28"/>
                <w:szCs w:val="21"/>
              </w:rPr>
              <w:t>配分</w:t>
            </w:r>
          </w:p>
        </w:tc>
        <w:tc>
          <w:tcPr>
            <w:tcW w:w="3600" w:type="dxa"/>
            <w:tcBorders>
              <w:top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jc w:val="center"/>
              <w:rPr>
                <w:rFonts w:eastAsia="楷体_GB2312"/>
                <w:sz w:val="28"/>
                <w:szCs w:val="21"/>
              </w:rPr>
            </w:pPr>
            <w:r w:rsidRPr="008C05ED">
              <w:rPr>
                <w:rFonts w:eastAsia="楷体_GB2312" w:hint="eastAsia"/>
                <w:sz w:val="28"/>
                <w:szCs w:val="21"/>
              </w:rPr>
              <w:t>评分标准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jc w:val="center"/>
              <w:rPr>
                <w:rFonts w:eastAsia="楷体_GB2312"/>
                <w:sz w:val="28"/>
                <w:szCs w:val="21"/>
              </w:rPr>
            </w:pPr>
            <w:r w:rsidRPr="008C05ED">
              <w:rPr>
                <w:rFonts w:eastAsia="楷体_GB2312" w:hint="eastAsia"/>
                <w:sz w:val="28"/>
                <w:szCs w:val="21"/>
              </w:rPr>
              <w:t>扣分</w:t>
            </w:r>
          </w:p>
        </w:tc>
        <w:tc>
          <w:tcPr>
            <w:tcW w:w="900" w:type="dxa"/>
            <w:tcBorders>
              <w:top w:val="single" w:sz="12" w:space="0" w:color="auto"/>
              <w:righ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jc w:val="center"/>
              <w:rPr>
                <w:rFonts w:eastAsia="楷体_GB2312"/>
                <w:sz w:val="28"/>
                <w:szCs w:val="21"/>
              </w:rPr>
            </w:pPr>
            <w:r w:rsidRPr="008C05ED">
              <w:rPr>
                <w:rFonts w:eastAsia="楷体_GB2312" w:hint="eastAsia"/>
                <w:sz w:val="28"/>
                <w:szCs w:val="21"/>
              </w:rPr>
              <w:t>得分</w:t>
            </w:r>
          </w:p>
        </w:tc>
      </w:tr>
      <w:tr w:rsidR="00792716" w:rsidRPr="008C05ED" w:rsidTr="00DB7760">
        <w:tc>
          <w:tcPr>
            <w:tcW w:w="648" w:type="dxa"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形象</w:t>
            </w: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标志服、着装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5</w:t>
            </w:r>
          </w:p>
        </w:tc>
        <w:tc>
          <w:tcPr>
            <w:tcW w:w="36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要求着装整洁、鲜明。不穿标志服扣</w:t>
            </w:r>
            <w:r w:rsidRPr="008C05ED">
              <w:rPr>
                <w:rFonts w:eastAsia="楷体_GB2312" w:hint="eastAsia"/>
                <w:szCs w:val="21"/>
              </w:rPr>
              <w:t>5</w:t>
            </w:r>
            <w:r w:rsidRPr="008C05ED">
              <w:rPr>
                <w:rFonts w:eastAsia="楷体_GB2312" w:hint="eastAsia"/>
                <w:szCs w:val="21"/>
              </w:rPr>
              <w:t>分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8C05ED" w:rsidTr="00DB7760">
        <w:trPr>
          <w:cantSplit/>
          <w:trHeight w:val="1664"/>
        </w:trPr>
        <w:tc>
          <w:tcPr>
            <w:tcW w:w="648" w:type="dxa"/>
            <w:vMerge w:val="restart"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工艺</w:t>
            </w: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施工前检查及调试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5</w:t>
            </w:r>
          </w:p>
        </w:tc>
        <w:tc>
          <w:tcPr>
            <w:tcW w:w="36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施工前检查工具、物品，检查、调试机械。水和油不足时进行补充。不检查扣</w:t>
            </w:r>
            <w:r w:rsidRPr="008C05ED">
              <w:rPr>
                <w:rFonts w:eastAsia="楷体_GB2312" w:hint="eastAsia"/>
                <w:szCs w:val="21"/>
              </w:rPr>
              <w:t>5</w:t>
            </w:r>
            <w:r w:rsidRPr="008C05ED">
              <w:rPr>
                <w:rFonts w:eastAsia="楷体_GB2312" w:hint="eastAsia"/>
                <w:szCs w:val="21"/>
              </w:rPr>
              <w:t>分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0D1D01" w:rsidTr="00DB7760">
        <w:trPr>
          <w:cantSplit/>
        </w:trPr>
        <w:tc>
          <w:tcPr>
            <w:tcW w:w="648" w:type="dxa"/>
            <w:vMerge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放样、切割、开凿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15</w:t>
            </w:r>
          </w:p>
        </w:tc>
        <w:tc>
          <w:tcPr>
            <w:tcW w:w="36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①要求放样合理、准确，划出与中心线平行的轮廓线。划线四边各边应超出轮廓线</w:t>
            </w:r>
            <w:r w:rsidRPr="000D1D01">
              <w:rPr>
                <w:rFonts w:eastAsia="楷体_GB2312" w:hint="eastAsia"/>
                <w:szCs w:val="21"/>
              </w:rPr>
              <w:t>50cm</w:t>
            </w:r>
            <w:r w:rsidRPr="000D1D01">
              <w:rPr>
                <w:rFonts w:eastAsia="楷体_GB2312" w:hint="eastAsia"/>
                <w:szCs w:val="21"/>
              </w:rPr>
              <w:t>以上，不合要求扣</w:t>
            </w:r>
            <w:r w:rsidRPr="000D1D01">
              <w:rPr>
                <w:rFonts w:eastAsia="楷体_GB2312" w:hint="eastAsia"/>
                <w:szCs w:val="21"/>
              </w:rPr>
              <w:t>5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②要求槽壁垂直，切割允许过界</w:t>
            </w:r>
            <w:smartTag w:uri="urn:schemas-microsoft-com:office:smarttags" w:element="chmetcnv">
              <w:smartTagPr>
                <w:attr w:name="UnitName" w:val="mm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D1D01">
                <w:rPr>
                  <w:rFonts w:eastAsia="楷体_GB2312" w:hint="eastAsia"/>
                  <w:szCs w:val="21"/>
                </w:rPr>
                <w:t>5mm</w:t>
              </w:r>
            </w:smartTag>
            <w:r w:rsidRPr="000D1D01">
              <w:rPr>
                <w:rFonts w:eastAsia="楷体_GB2312" w:hint="eastAsia"/>
                <w:szCs w:val="21"/>
              </w:rPr>
              <w:t>，否则扣</w:t>
            </w:r>
            <w:r w:rsidRPr="000D1D01">
              <w:rPr>
                <w:rFonts w:eastAsia="楷体_GB2312" w:hint="eastAsia"/>
                <w:szCs w:val="21"/>
              </w:rPr>
              <w:t>5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③开凿深度达不到整层厚度扣</w:t>
            </w:r>
            <w:r w:rsidRPr="000D1D01">
              <w:rPr>
                <w:rFonts w:eastAsia="楷体_GB2312" w:hint="eastAsia"/>
                <w:szCs w:val="21"/>
              </w:rPr>
              <w:t>5</w:t>
            </w:r>
            <w:r w:rsidRPr="000D1D01">
              <w:rPr>
                <w:rFonts w:eastAsia="楷体_GB2312" w:hint="eastAsia"/>
                <w:szCs w:val="21"/>
              </w:rPr>
              <w:t>分</w:t>
            </w:r>
          </w:p>
        </w:tc>
        <w:tc>
          <w:tcPr>
            <w:tcW w:w="9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0D1D01" w:rsidTr="00DB7760">
        <w:trPr>
          <w:cantSplit/>
        </w:trPr>
        <w:tc>
          <w:tcPr>
            <w:tcW w:w="648" w:type="dxa"/>
            <w:vMerge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清理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5</w:t>
            </w:r>
          </w:p>
        </w:tc>
        <w:tc>
          <w:tcPr>
            <w:tcW w:w="36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①废料堆放不整齐扣</w:t>
            </w:r>
            <w:r w:rsidRPr="000D1D01">
              <w:rPr>
                <w:rFonts w:eastAsia="楷体_GB2312" w:hint="eastAsia"/>
                <w:szCs w:val="21"/>
              </w:rPr>
              <w:t>2</w:t>
            </w:r>
            <w:r w:rsidRPr="000D1D01">
              <w:rPr>
                <w:rFonts w:eastAsia="楷体_GB2312" w:hint="eastAsia"/>
                <w:szCs w:val="21"/>
              </w:rPr>
              <w:t>分。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②要求坑槽底及四壁干燥，无杂物、浮土，否则扣</w:t>
            </w:r>
            <w:r w:rsidRPr="000D1D01">
              <w:rPr>
                <w:rFonts w:eastAsia="楷体_GB2312" w:hint="eastAsia"/>
                <w:szCs w:val="21"/>
              </w:rPr>
              <w:t>3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</w:tc>
        <w:tc>
          <w:tcPr>
            <w:tcW w:w="9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0D1D01" w:rsidTr="00DB7760">
        <w:trPr>
          <w:cantSplit/>
        </w:trPr>
        <w:tc>
          <w:tcPr>
            <w:tcW w:w="648" w:type="dxa"/>
            <w:vMerge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槽底压实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10</w:t>
            </w:r>
          </w:p>
        </w:tc>
        <w:tc>
          <w:tcPr>
            <w:tcW w:w="36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①基层松散不用夯实机压实扣</w:t>
            </w:r>
            <w:r w:rsidRPr="000D1D01">
              <w:rPr>
                <w:rFonts w:eastAsia="楷体_GB2312" w:hint="eastAsia"/>
                <w:szCs w:val="21"/>
              </w:rPr>
              <w:t>5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②基层表面不平整时，未进行调平扣</w:t>
            </w:r>
            <w:r w:rsidRPr="000D1D01">
              <w:rPr>
                <w:rFonts w:eastAsia="楷体_GB2312" w:hint="eastAsia"/>
                <w:szCs w:val="21"/>
              </w:rPr>
              <w:t>3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③基层未涂刷透层油扣</w:t>
            </w:r>
            <w:r w:rsidRPr="000D1D01">
              <w:rPr>
                <w:rFonts w:eastAsia="楷体_GB2312" w:hint="eastAsia"/>
                <w:szCs w:val="21"/>
              </w:rPr>
              <w:t>2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</w:tc>
        <w:tc>
          <w:tcPr>
            <w:tcW w:w="9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0D1D01" w:rsidTr="00DB7760">
        <w:trPr>
          <w:cantSplit/>
        </w:trPr>
        <w:tc>
          <w:tcPr>
            <w:tcW w:w="648" w:type="dxa"/>
            <w:vMerge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铺料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15</w:t>
            </w:r>
          </w:p>
        </w:tc>
        <w:tc>
          <w:tcPr>
            <w:tcW w:w="36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①材料用量计算不正确扣</w:t>
            </w:r>
            <w:r w:rsidRPr="000D1D01">
              <w:rPr>
                <w:rFonts w:eastAsia="楷体_GB2312" w:hint="eastAsia"/>
                <w:szCs w:val="21"/>
              </w:rPr>
              <w:t>2</w:t>
            </w:r>
            <w:r w:rsidRPr="000D1D01">
              <w:rPr>
                <w:rFonts w:eastAsia="楷体_GB2312" w:hint="eastAsia"/>
                <w:szCs w:val="21"/>
              </w:rPr>
              <w:t>分；称量不准确扣</w:t>
            </w:r>
            <w:r w:rsidRPr="000D1D01">
              <w:rPr>
                <w:rFonts w:eastAsia="楷体_GB2312" w:hint="eastAsia"/>
                <w:szCs w:val="21"/>
              </w:rPr>
              <w:t>3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②要求扣铲铺料、粗细料无分离、先边后中、饱满、松铺厚度适当，否则每错一项扣</w:t>
            </w:r>
            <w:r w:rsidRPr="000D1D01">
              <w:rPr>
                <w:rFonts w:eastAsia="楷体_GB2312" w:hint="eastAsia"/>
                <w:szCs w:val="21"/>
              </w:rPr>
              <w:t>1</w:t>
            </w:r>
            <w:r w:rsidRPr="000D1D01">
              <w:rPr>
                <w:rFonts w:eastAsia="楷体_GB2312" w:hint="eastAsia"/>
                <w:szCs w:val="21"/>
              </w:rPr>
              <w:t>分</w:t>
            </w:r>
          </w:p>
        </w:tc>
        <w:tc>
          <w:tcPr>
            <w:tcW w:w="9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0D1D01" w:rsidTr="00DB7760">
        <w:trPr>
          <w:cantSplit/>
        </w:trPr>
        <w:tc>
          <w:tcPr>
            <w:tcW w:w="648" w:type="dxa"/>
            <w:vMerge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压实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10</w:t>
            </w:r>
          </w:p>
        </w:tc>
        <w:tc>
          <w:tcPr>
            <w:tcW w:w="36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要求均匀，无明显轮迹，无重复修整，否则扣</w:t>
            </w:r>
            <w:r w:rsidRPr="000D1D01">
              <w:rPr>
                <w:rFonts w:eastAsia="楷体_GB2312" w:hint="eastAsia"/>
                <w:szCs w:val="21"/>
              </w:rPr>
              <w:t>10</w:t>
            </w:r>
            <w:r w:rsidRPr="000D1D01">
              <w:rPr>
                <w:rFonts w:eastAsia="楷体_GB2312" w:hint="eastAsia"/>
                <w:szCs w:val="21"/>
              </w:rPr>
              <w:t>分</w:t>
            </w:r>
          </w:p>
        </w:tc>
        <w:tc>
          <w:tcPr>
            <w:tcW w:w="9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0D1D01" w:rsidTr="00DB7760">
        <w:trPr>
          <w:cantSplit/>
        </w:trPr>
        <w:tc>
          <w:tcPr>
            <w:tcW w:w="648" w:type="dxa"/>
            <w:vMerge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养护砂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5</w:t>
            </w:r>
          </w:p>
        </w:tc>
        <w:tc>
          <w:tcPr>
            <w:tcW w:w="36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洒布不均匀、不合理扣</w:t>
            </w:r>
            <w:r w:rsidRPr="000D1D01">
              <w:rPr>
                <w:rFonts w:eastAsia="楷体_GB2312" w:hint="eastAsia"/>
                <w:szCs w:val="21"/>
              </w:rPr>
              <w:t>1</w:t>
            </w:r>
            <w:r w:rsidRPr="000D1D01">
              <w:rPr>
                <w:rFonts w:eastAsia="楷体_GB2312" w:hint="eastAsia"/>
                <w:szCs w:val="21"/>
              </w:rPr>
              <w:t>分，不洒养护砂扣</w:t>
            </w:r>
            <w:r w:rsidRPr="000D1D01">
              <w:rPr>
                <w:rFonts w:eastAsia="楷体_GB2312" w:hint="eastAsia"/>
                <w:szCs w:val="21"/>
              </w:rPr>
              <w:t>5</w:t>
            </w:r>
            <w:r w:rsidRPr="000D1D01">
              <w:rPr>
                <w:rFonts w:eastAsia="楷体_GB2312" w:hint="eastAsia"/>
                <w:szCs w:val="21"/>
              </w:rPr>
              <w:t>分</w:t>
            </w:r>
          </w:p>
        </w:tc>
        <w:tc>
          <w:tcPr>
            <w:tcW w:w="9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0D1D01" w:rsidTr="00DB7760">
        <w:trPr>
          <w:cantSplit/>
        </w:trPr>
        <w:tc>
          <w:tcPr>
            <w:tcW w:w="648" w:type="dxa"/>
            <w:vMerge w:val="restart"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效果</w:t>
            </w: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轮廓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5</w:t>
            </w:r>
          </w:p>
        </w:tc>
        <w:tc>
          <w:tcPr>
            <w:tcW w:w="36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①轮廓不分明、边线不顺直、不美观，扣</w:t>
            </w:r>
            <w:r w:rsidRPr="000D1D01">
              <w:rPr>
                <w:rFonts w:eastAsia="楷体_GB2312" w:hint="eastAsia"/>
                <w:szCs w:val="21"/>
              </w:rPr>
              <w:t>3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②比旧路面高</w:t>
            </w:r>
            <w:r w:rsidRPr="000D1D01">
              <w:rPr>
                <w:rFonts w:eastAsia="楷体_GB2312" w:hint="eastAsia"/>
                <w:szCs w:val="21"/>
              </w:rPr>
              <w:t>2</w:t>
            </w:r>
            <w:r w:rsidRPr="000D1D01">
              <w:rPr>
                <w:rFonts w:eastAsia="楷体_GB2312" w:hint="eastAsia"/>
                <w:szCs w:val="21"/>
              </w:rPr>
              <w:t>～</w:t>
            </w:r>
            <w:r w:rsidRPr="000D1D01">
              <w:rPr>
                <w:rFonts w:eastAsia="楷体_GB2312" w:hint="eastAsia"/>
                <w:szCs w:val="21"/>
              </w:rPr>
              <w:t>3mm</w:t>
            </w:r>
            <w:r w:rsidRPr="000D1D01">
              <w:rPr>
                <w:rFonts w:eastAsia="楷体_GB2312" w:hint="eastAsia"/>
                <w:szCs w:val="21"/>
              </w:rPr>
              <w:t>，否则扣</w:t>
            </w:r>
            <w:r w:rsidRPr="000D1D01">
              <w:rPr>
                <w:rFonts w:eastAsia="楷体_GB2312" w:hint="eastAsia"/>
                <w:szCs w:val="21"/>
              </w:rPr>
              <w:t>2</w:t>
            </w:r>
            <w:r w:rsidRPr="000D1D01">
              <w:rPr>
                <w:rFonts w:eastAsia="楷体_GB2312" w:hint="eastAsia"/>
                <w:szCs w:val="21"/>
              </w:rPr>
              <w:t>分</w:t>
            </w:r>
          </w:p>
        </w:tc>
        <w:tc>
          <w:tcPr>
            <w:tcW w:w="9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0D1D01" w:rsidTr="00DB7760">
        <w:trPr>
          <w:cantSplit/>
        </w:trPr>
        <w:tc>
          <w:tcPr>
            <w:tcW w:w="648" w:type="dxa"/>
            <w:vMerge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平整度</w:t>
            </w:r>
          </w:p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压实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20</w:t>
            </w:r>
          </w:p>
        </w:tc>
        <w:tc>
          <w:tcPr>
            <w:tcW w:w="36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①平整度误差超过</w:t>
            </w:r>
            <w:smartTag w:uri="urn:schemas-microsoft-com:office:smarttags" w:element="chmetcnv">
              <w:smartTagPr>
                <w:attr w:name="UnitName" w:val="mm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D1D01">
                <w:rPr>
                  <w:rFonts w:eastAsia="楷体_GB2312" w:hint="eastAsia"/>
                  <w:szCs w:val="21"/>
                </w:rPr>
                <w:t>5mm</w:t>
              </w:r>
            </w:smartTag>
            <w:r w:rsidRPr="000D1D01">
              <w:rPr>
                <w:rFonts w:eastAsia="楷体_GB2312" w:hint="eastAsia"/>
                <w:szCs w:val="21"/>
              </w:rPr>
              <w:t>扣</w:t>
            </w:r>
            <w:r w:rsidRPr="000D1D01">
              <w:rPr>
                <w:rFonts w:eastAsia="楷体_GB2312" w:hint="eastAsia"/>
                <w:szCs w:val="21"/>
              </w:rPr>
              <w:t>10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②修补层压实效果不满足要求扣</w:t>
            </w:r>
            <w:r w:rsidRPr="000D1D01">
              <w:rPr>
                <w:rFonts w:eastAsia="楷体_GB2312" w:hint="eastAsia"/>
                <w:szCs w:val="21"/>
              </w:rPr>
              <w:t>10</w:t>
            </w:r>
            <w:r w:rsidRPr="000D1D01">
              <w:rPr>
                <w:rFonts w:eastAsia="楷体_GB2312" w:hint="eastAsia"/>
                <w:szCs w:val="21"/>
              </w:rPr>
              <w:t>分</w:t>
            </w:r>
          </w:p>
        </w:tc>
        <w:tc>
          <w:tcPr>
            <w:tcW w:w="9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0D1D01" w:rsidTr="00DB7760">
        <w:tc>
          <w:tcPr>
            <w:tcW w:w="648" w:type="dxa"/>
            <w:tcBorders>
              <w:lef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文明</w:t>
            </w:r>
          </w:p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作业</w:t>
            </w:r>
          </w:p>
        </w:tc>
        <w:tc>
          <w:tcPr>
            <w:tcW w:w="144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清理场地</w:t>
            </w:r>
          </w:p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机械摆放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5</w:t>
            </w:r>
          </w:p>
        </w:tc>
        <w:tc>
          <w:tcPr>
            <w:tcW w:w="36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①清理场地干净，废料运至指定区域，否则扣</w:t>
            </w:r>
            <w:r w:rsidRPr="000D1D01">
              <w:rPr>
                <w:rFonts w:eastAsia="楷体_GB2312" w:hint="eastAsia"/>
                <w:szCs w:val="21"/>
              </w:rPr>
              <w:t>3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②机械物品摆放不整齐扣</w:t>
            </w:r>
            <w:r w:rsidRPr="000D1D01">
              <w:rPr>
                <w:rFonts w:eastAsia="楷体_GB2312" w:hint="eastAsia"/>
                <w:szCs w:val="21"/>
              </w:rPr>
              <w:t>1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③机械擦拭不洁净扣</w:t>
            </w:r>
            <w:r w:rsidRPr="000D1D01">
              <w:rPr>
                <w:rFonts w:eastAsia="楷体_GB2312" w:hint="eastAsia"/>
                <w:szCs w:val="21"/>
              </w:rPr>
              <w:t>1</w:t>
            </w:r>
            <w:r w:rsidRPr="000D1D01">
              <w:rPr>
                <w:rFonts w:eastAsia="楷体_GB2312" w:hint="eastAsia"/>
                <w:szCs w:val="21"/>
              </w:rPr>
              <w:t>分</w:t>
            </w:r>
          </w:p>
        </w:tc>
        <w:tc>
          <w:tcPr>
            <w:tcW w:w="9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0D1D01" w:rsidTr="00DB7760">
        <w:tc>
          <w:tcPr>
            <w:tcW w:w="2088" w:type="dxa"/>
            <w:gridSpan w:val="2"/>
            <w:tcBorders>
              <w:left w:val="single" w:sz="12" w:space="0" w:color="auto"/>
            </w:tcBorders>
            <w:vAlign w:val="center"/>
          </w:tcPr>
          <w:p w:rsidR="00792716" w:rsidRPr="008C05ED" w:rsidRDefault="00792716" w:rsidP="00DB7760">
            <w:pPr>
              <w:spacing w:line="500" w:lineRule="exact"/>
              <w:jc w:val="center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其他</w:t>
            </w:r>
          </w:p>
        </w:tc>
        <w:tc>
          <w:tcPr>
            <w:tcW w:w="900" w:type="dxa"/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36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①在规定时间未完成本项目为</w:t>
            </w:r>
            <w:r w:rsidRPr="000D1D01">
              <w:rPr>
                <w:rFonts w:eastAsia="楷体_GB2312" w:hint="eastAsia"/>
                <w:szCs w:val="21"/>
              </w:rPr>
              <w:t>0</w:t>
            </w:r>
            <w:r w:rsidRPr="000D1D01">
              <w:rPr>
                <w:rFonts w:eastAsia="楷体_GB2312" w:hint="eastAsia"/>
                <w:szCs w:val="21"/>
              </w:rPr>
              <w:t>分；②违反竞赛纪律、操作规程或不服从裁判指挥本项目</w:t>
            </w:r>
            <w:r w:rsidRPr="000D1D01">
              <w:rPr>
                <w:rFonts w:eastAsia="楷体_GB2312" w:hint="eastAsia"/>
                <w:szCs w:val="21"/>
              </w:rPr>
              <w:t>0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③发生安全事故本项目</w:t>
            </w:r>
            <w:r w:rsidRPr="000D1D01">
              <w:rPr>
                <w:rFonts w:eastAsia="楷体_GB2312" w:hint="eastAsia"/>
                <w:szCs w:val="21"/>
              </w:rPr>
              <w:t>0</w:t>
            </w:r>
            <w:r w:rsidRPr="000D1D01">
              <w:rPr>
                <w:rFonts w:eastAsia="楷体_GB2312" w:hint="eastAsia"/>
                <w:szCs w:val="21"/>
              </w:rPr>
              <w:t>分；</w:t>
            </w:r>
          </w:p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  <w:r w:rsidRPr="000D1D01">
              <w:rPr>
                <w:rFonts w:eastAsia="楷体_GB2312" w:hint="eastAsia"/>
                <w:szCs w:val="21"/>
              </w:rPr>
              <w:t>④冒名顶替本项目</w:t>
            </w:r>
            <w:r w:rsidRPr="000D1D01">
              <w:rPr>
                <w:rFonts w:eastAsia="楷体_GB2312" w:hint="eastAsia"/>
                <w:szCs w:val="21"/>
              </w:rPr>
              <w:t>0</w:t>
            </w:r>
            <w:r w:rsidRPr="000D1D01">
              <w:rPr>
                <w:rFonts w:eastAsia="楷体_GB2312" w:hint="eastAsia"/>
                <w:szCs w:val="21"/>
              </w:rPr>
              <w:t>分</w:t>
            </w:r>
          </w:p>
        </w:tc>
        <w:tc>
          <w:tcPr>
            <w:tcW w:w="900" w:type="dxa"/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792716" w:rsidRPr="000D1D01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  <w:tr w:rsidR="00792716" w:rsidRPr="008C05ED" w:rsidTr="00DB7760">
        <w:tc>
          <w:tcPr>
            <w:tcW w:w="2988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jc w:val="center"/>
              <w:rPr>
                <w:rFonts w:eastAsia="楷体_GB2312"/>
                <w:szCs w:val="21"/>
              </w:rPr>
            </w:pPr>
            <w:r w:rsidRPr="008C05ED">
              <w:rPr>
                <w:rFonts w:eastAsia="楷体_GB2312" w:hint="eastAsia"/>
                <w:szCs w:val="21"/>
              </w:rPr>
              <w:t>项目完成耗时</w:t>
            </w:r>
          </w:p>
        </w:tc>
        <w:tc>
          <w:tcPr>
            <w:tcW w:w="5400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:rsidR="00792716" w:rsidRPr="008C05ED" w:rsidRDefault="00792716" w:rsidP="00DB7760">
            <w:pPr>
              <w:spacing w:line="500" w:lineRule="exact"/>
              <w:rPr>
                <w:rFonts w:eastAsia="楷体_GB2312"/>
                <w:szCs w:val="21"/>
              </w:rPr>
            </w:pPr>
          </w:p>
        </w:tc>
      </w:tr>
    </w:tbl>
    <w:p w:rsidR="00792716" w:rsidRDefault="00792716" w:rsidP="00792716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Cs w:val="21"/>
        </w:rPr>
        <w:t>裁判员：                 项目裁判长：                 总裁判长</w:t>
      </w:r>
      <w:r>
        <w:rPr>
          <w:rFonts w:ascii="宋体" w:hAnsi="宋体" w:hint="eastAsia"/>
          <w:sz w:val="30"/>
          <w:szCs w:val="30"/>
        </w:rPr>
        <w:t>：</w:t>
      </w:r>
    </w:p>
    <w:p w:rsidR="00792716" w:rsidRDefault="00792716" w:rsidP="00792716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</w:p>
    <w:p w:rsidR="00792716" w:rsidRDefault="00792716" w:rsidP="00792716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</w:p>
    <w:p w:rsidR="00792716" w:rsidRPr="00B1063D" w:rsidRDefault="00792716" w:rsidP="00792716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B1063D">
        <w:rPr>
          <w:rFonts w:ascii="仿宋" w:eastAsia="仿宋" w:hAnsi="仿宋" w:hint="eastAsia"/>
          <w:sz w:val="30"/>
          <w:szCs w:val="30"/>
        </w:rPr>
        <w:t>（一）技术方案实施过程中如遇问题，请与技术专家组联系，联系人</w:t>
      </w:r>
      <w:r>
        <w:rPr>
          <w:rFonts w:ascii="仿宋" w:eastAsia="仿宋" w:hAnsi="仿宋" w:hint="eastAsia"/>
          <w:sz w:val="30"/>
          <w:szCs w:val="30"/>
        </w:rPr>
        <w:t>及电话</w:t>
      </w:r>
      <w:r w:rsidRPr="00B1063D">
        <w:rPr>
          <w:rFonts w:ascii="仿宋" w:eastAsia="仿宋" w:hAnsi="仿宋" w:hint="eastAsia"/>
          <w:sz w:val="30"/>
          <w:szCs w:val="30"/>
        </w:rPr>
        <w:t>：</w:t>
      </w:r>
      <w:r w:rsidRPr="00345CC5">
        <w:rPr>
          <w:rFonts w:ascii="仿宋" w:eastAsia="仿宋" w:hAnsi="仿宋" w:hint="eastAsia"/>
          <w:sz w:val="32"/>
          <w:szCs w:val="32"/>
        </w:rPr>
        <w:t>四川交通运输职业学校</w:t>
      </w:r>
      <w:r>
        <w:rPr>
          <w:rFonts w:ascii="仿宋" w:eastAsia="仿宋" w:hAnsi="仿宋" w:hint="eastAsia"/>
          <w:sz w:val="32"/>
          <w:szCs w:val="32"/>
        </w:rPr>
        <w:t>周永春13388167518</w:t>
      </w:r>
      <w:r w:rsidRPr="00B1063D">
        <w:rPr>
          <w:rFonts w:ascii="仿宋" w:eastAsia="仿宋" w:hAnsi="仿宋" w:hint="eastAsia"/>
          <w:sz w:val="30"/>
          <w:szCs w:val="30"/>
        </w:rPr>
        <w:t>。</w:t>
      </w:r>
    </w:p>
    <w:p w:rsidR="00792716" w:rsidRDefault="00792716" w:rsidP="00792716">
      <w:pPr>
        <w:spacing w:line="600" w:lineRule="exact"/>
        <w:ind w:firstLineChars="200" w:firstLine="600"/>
        <w:rPr>
          <w:rFonts w:ascii="仿宋" w:eastAsia="仿宋" w:hAnsi="仿宋"/>
          <w:sz w:val="32"/>
          <w:szCs w:val="32"/>
        </w:rPr>
      </w:pPr>
      <w:r w:rsidRPr="00B1063D">
        <w:rPr>
          <w:rFonts w:ascii="仿宋" w:eastAsia="仿宋" w:hAnsi="仿宋" w:hint="eastAsia"/>
          <w:sz w:val="30"/>
          <w:szCs w:val="30"/>
        </w:rPr>
        <w:t>（</w:t>
      </w:r>
      <w:r>
        <w:rPr>
          <w:rFonts w:ascii="仿宋" w:eastAsia="仿宋" w:hAnsi="仿宋" w:hint="eastAsia"/>
          <w:sz w:val="30"/>
          <w:szCs w:val="30"/>
        </w:rPr>
        <w:t>二</w:t>
      </w:r>
      <w:r w:rsidRPr="00B1063D">
        <w:rPr>
          <w:rFonts w:ascii="仿宋" w:eastAsia="仿宋" w:hAnsi="仿宋" w:hint="eastAsia"/>
          <w:sz w:val="30"/>
          <w:szCs w:val="30"/>
        </w:rPr>
        <w:t>）</w:t>
      </w:r>
      <w:r w:rsidRPr="00890B23">
        <w:rPr>
          <w:rFonts w:ascii="仿宋" w:eastAsia="仿宋" w:hAnsi="仿宋" w:hint="eastAsia"/>
          <w:sz w:val="32"/>
          <w:szCs w:val="32"/>
        </w:rPr>
        <w:t>压路机项目设备由四川同创工程机械有限公司公司提供，型号为柳工CLG621</w:t>
      </w:r>
      <w:r>
        <w:rPr>
          <w:rFonts w:ascii="仿宋" w:eastAsia="仿宋" w:hAnsi="仿宋" w:hint="eastAsia"/>
          <w:sz w:val="32"/>
          <w:szCs w:val="32"/>
        </w:rPr>
        <w:t>3E</w:t>
      </w:r>
      <w:r w:rsidRPr="00890B23">
        <w:rPr>
          <w:rFonts w:ascii="仿宋" w:eastAsia="仿宋" w:hAnsi="仿宋" w:hint="eastAsia"/>
          <w:sz w:val="32"/>
          <w:szCs w:val="32"/>
        </w:rPr>
        <w:t>型双钢轮压路机，</w:t>
      </w:r>
      <w:r>
        <w:rPr>
          <w:rFonts w:ascii="仿宋" w:eastAsia="仿宋" w:hAnsi="仿宋" w:hint="eastAsia"/>
          <w:sz w:val="32"/>
          <w:szCs w:val="32"/>
        </w:rPr>
        <w:t>联系人及电话：马锋13908051062。</w:t>
      </w:r>
    </w:p>
    <w:p w:rsidR="00792716" w:rsidRPr="004C30B4" w:rsidRDefault="00792716" w:rsidP="00792716">
      <w:pPr>
        <w:spacing w:line="600" w:lineRule="exact"/>
        <w:ind w:firstLineChars="200" w:firstLine="64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2"/>
          <w:szCs w:val="32"/>
        </w:rPr>
        <w:t>（三）</w:t>
      </w:r>
      <w:r w:rsidRPr="00890B23">
        <w:rPr>
          <w:rFonts w:ascii="仿宋" w:eastAsia="仿宋" w:hAnsi="仿宋"/>
          <w:sz w:val="32"/>
          <w:szCs w:val="32"/>
        </w:rPr>
        <w:t>补坑槽</w:t>
      </w:r>
      <w:r w:rsidRPr="00890B23">
        <w:rPr>
          <w:rFonts w:ascii="仿宋" w:eastAsia="仿宋" w:hAnsi="仿宋" w:hint="eastAsia"/>
          <w:sz w:val="32"/>
          <w:szCs w:val="32"/>
        </w:rPr>
        <w:t>小型设备由四川美西动力科技有限公司提供，型号为</w:t>
      </w:r>
      <w:r w:rsidRPr="004C30B4">
        <w:rPr>
          <w:rFonts w:ascii="仿宋" w:eastAsia="仿宋" w:hAnsi="仿宋" w:hint="eastAsia"/>
          <w:sz w:val="30"/>
          <w:szCs w:val="30"/>
        </w:rPr>
        <w:t>：</w:t>
      </w:r>
      <w:r>
        <w:rPr>
          <w:rFonts w:ascii="仿宋" w:eastAsia="仿宋" w:hAnsi="仿宋" w:hint="eastAsia"/>
          <w:sz w:val="30"/>
          <w:szCs w:val="32"/>
        </w:rPr>
        <w:t>阿特拉斯LP9-20P液压工作站、阿特拉斯LH190E破碎镐、三笠MCD-012AH</w:t>
      </w:r>
      <w:r w:rsidRPr="00A95CA6">
        <w:rPr>
          <w:rFonts w:ascii="仿宋" w:eastAsia="仿宋" w:hAnsi="仿宋" w:hint="eastAsia"/>
          <w:sz w:val="30"/>
          <w:szCs w:val="32"/>
        </w:rPr>
        <w:t>切割机、</w:t>
      </w:r>
      <w:r>
        <w:rPr>
          <w:rFonts w:ascii="仿宋" w:eastAsia="仿宋" w:hAnsi="仿宋" w:hint="eastAsia"/>
          <w:sz w:val="30"/>
          <w:szCs w:val="32"/>
        </w:rPr>
        <w:t>三笠MVC-T90HC</w:t>
      </w:r>
      <w:r w:rsidRPr="00A95CA6">
        <w:rPr>
          <w:rFonts w:ascii="仿宋" w:eastAsia="仿宋" w:hAnsi="仿宋" w:hint="eastAsia"/>
          <w:sz w:val="30"/>
          <w:szCs w:val="32"/>
        </w:rPr>
        <w:t>平板夯、</w:t>
      </w:r>
      <w:r>
        <w:rPr>
          <w:rFonts w:ascii="仿宋" w:eastAsia="仿宋" w:hAnsi="仿宋" w:hint="eastAsia"/>
          <w:sz w:val="30"/>
          <w:szCs w:val="32"/>
        </w:rPr>
        <w:t>三笠MRS-26</w:t>
      </w:r>
      <w:r w:rsidRPr="00A95CA6">
        <w:rPr>
          <w:rFonts w:ascii="仿宋" w:eastAsia="仿宋" w:hAnsi="仿宋" w:hint="eastAsia"/>
          <w:sz w:val="30"/>
          <w:szCs w:val="32"/>
        </w:rPr>
        <w:t>手扶压路机。</w:t>
      </w:r>
      <w:r w:rsidRPr="004C30B4">
        <w:rPr>
          <w:rFonts w:ascii="仿宋" w:eastAsia="仿宋" w:hAnsi="仿宋" w:hint="eastAsia"/>
          <w:sz w:val="30"/>
          <w:szCs w:val="30"/>
        </w:rPr>
        <w:t>联系人及电话：</w:t>
      </w:r>
      <w:r>
        <w:rPr>
          <w:rFonts w:ascii="仿宋" w:eastAsia="仿宋" w:hAnsi="仿宋" w:hint="eastAsia"/>
          <w:sz w:val="30"/>
          <w:szCs w:val="30"/>
        </w:rPr>
        <w:t>郭建13541384227</w:t>
      </w:r>
      <w:r w:rsidRPr="004C30B4">
        <w:rPr>
          <w:rFonts w:ascii="仿宋" w:eastAsia="仿宋" w:hAnsi="仿宋" w:hint="eastAsia"/>
          <w:sz w:val="30"/>
          <w:szCs w:val="30"/>
        </w:rPr>
        <w:t>。</w:t>
      </w:r>
    </w:p>
    <w:p w:rsidR="00792716" w:rsidRPr="00577150" w:rsidRDefault="00792716" w:rsidP="00792716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（四）</w:t>
      </w:r>
      <w:r w:rsidRPr="004C30B4">
        <w:rPr>
          <w:rFonts w:ascii="仿宋" w:eastAsia="仿宋" w:hAnsi="仿宋" w:hint="eastAsia"/>
          <w:sz w:val="30"/>
          <w:szCs w:val="30"/>
        </w:rPr>
        <w:t>补坑槽使用的成品料由四川新巩固建材有限公司提供，联系人及电话：蒋万星</w:t>
      </w:r>
      <w:r w:rsidRPr="004C30B4">
        <w:rPr>
          <w:rFonts w:ascii="仿宋" w:eastAsia="仿宋" w:hAnsi="仿宋"/>
          <w:sz w:val="30"/>
          <w:szCs w:val="30"/>
        </w:rPr>
        <w:t>13730803538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3B2A04" w:rsidRDefault="00315A60"/>
    <w:sectPr w:rsidR="003B2A04" w:rsidSect="000F27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92716"/>
    <w:rsid w:val="000F27DD"/>
    <w:rsid w:val="00293BEF"/>
    <w:rsid w:val="00315A60"/>
    <w:rsid w:val="00792716"/>
    <w:rsid w:val="008F745F"/>
    <w:rsid w:val="00AE4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71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5A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5A6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2017-05-25T05:58:00Z</dcterms:created>
  <dcterms:modified xsi:type="dcterms:W3CDTF">2017-05-25T06:07:00Z</dcterms:modified>
</cp:coreProperties>
</file>